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ACDD9" w14:textId="77777777" w:rsidR="009B7BB6" w:rsidRPr="009B7BB6" w:rsidRDefault="009B7BB6" w:rsidP="009B7BB6">
      <w:r w:rsidRPr="009B7BB6">
        <w:rPr>
          <w:b/>
          <w:bCs/>
        </w:rPr>
        <w:t xml:space="preserve">Data Insights Academic Year 2020-21 </w:t>
      </w:r>
    </w:p>
    <w:p w14:paraId="04B7DD25" w14:textId="77777777" w:rsidR="009B7BB6" w:rsidRPr="009B7BB6" w:rsidRDefault="009B7BB6" w:rsidP="009B7BB6">
      <w:r w:rsidRPr="009B7BB6">
        <w:rPr>
          <w:b/>
          <w:bCs/>
        </w:rPr>
        <w:t>MIT Institute Discrimination &amp; Harassment Response Office</w:t>
      </w:r>
    </w:p>
    <w:p w14:paraId="44E47972" w14:textId="51C9B0C3" w:rsidR="002B59D9" w:rsidRPr="009B7BB6" w:rsidRDefault="002B59D9"/>
    <w:p w14:paraId="40198C71" w14:textId="50E49247" w:rsidR="009B7BB6" w:rsidRPr="009B7BB6" w:rsidRDefault="009B7BB6" w:rsidP="009B7BB6">
      <w:r w:rsidRPr="00D9057D">
        <w:t xml:space="preserve">The Institute Discrimination &amp; Harassment Response Office (IDHR) </w:t>
      </w:r>
      <w:r w:rsidRPr="009B7BB6">
        <w:t xml:space="preserve">is a central resource for the entire MIT community for concerns related to discrimination, discriminatory harassment, and bias based on race, color, sex, sexual orientation, gender identity, pregnancy, religion, disability, age, genetic information, veteran status, or national or ethnic origin. IDHR strives to create a safe working, living, and learning environment at MIT by providing access to 4 areas: </w:t>
      </w:r>
    </w:p>
    <w:p w14:paraId="418F0022" w14:textId="0EC0650D" w:rsidR="009B7BB6" w:rsidRDefault="009B7BB6"/>
    <w:p w14:paraId="05F16789" w14:textId="2DF0B3D8" w:rsidR="009B7BB6" w:rsidRDefault="009B7BB6" w:rsidP="009B7BB6">
      <w:pPr>
        <w:pStyle w:val="ListParagraph"/>
        <w:numPr>
          <w:ilvl w:val="0"/>
          <w:numId w:val="1"/>
        </w:numPr>
      </w:pPr>
      <w:r>
        <w:t>Patterns &amp; Trends</w:t>
      </w:r>
    </w:p>
    <w:p w14:paraId="06302576" w14:textId="5AE8778B" w:rsidR="009B7BB6" w:rsidRDefault="009B7BB6" w:rsidP="009B7BB6">
      <w:pPr>
        <w:pStyle w:val="ListParagraph"/>
        <w:numPr>
          <w:ilvl w:val="0"/>
          <w:numId w:val="1"/>
        </w:numPr>
      </w:pPr>
      <w:r>
        <w:t xml:space="preserve">Incident Resolution Processes </w:t>
      </w:r>
    </w:p>
    <w:p w14:paraId="233F012A" w14:textId="71C00F7B" w:rsidR="009B7BB6" w:rsidRDefault="009B7BB6" w:rsidP="009B7BB6">
      <w:pPr>
        <w:pStyle w:val="ListParagraph"/>
        <w:numPr>
          <w:ilvl w:val="0"/>
          <w:numId w:val="1"/>
        </w:numPr>
      </w:pPr>
      <w:r>
        <w:t>Supportive Measures</w:t>
      </w:r>
    </w:p>
    <w:p w14:paraId="701ED84B" w14:textId="26361BBD" w:rsidR="009B7BB6" w:rsidRDefault="009B7BB6" w:rsidP="009B7BB6">
      <w:pPr>
        <w:pStyle w:val="ListParagraph"/>
        <w:numPr>
          <w:ilvl w:val="0"/>
          <w:numId w:val="1"/>
        </w:numPr>
      </w:pPr>
      <w:r>
        <w:t>Education</w:t>
      </w:r>
    </w:p>
    <w:p w14:paraId="04D2F8F5" w14:textId="6184127E" w:rsidR="009B7BB6" w:rsidRDefault="009B7BB6" w:rsidP="009B7BB6"/>
    <w:p w14:paraId="46F63362" w14:textId="2591A9D8" w:rsidR="009B7BB6" w:rsidRDefault="009B7BB6" w:rsidP="009B7BB6">
      <w:r w:rsidRPr="009B7BB6">
        <w:t xml:space="preserve">To shed light on the issues impacting our campus, IDHR produces an annual report of discrimination, harassment, and bias incident reports and other data from the past academic year. This infographic showcases a few data insights from the 2020-21 report. To read the full report, go to </w:t>
      </w:r>
      <w:r w:rsidR="002E1DD8" w:rsidRPr="00D9057D">
        <w:t>idhr.mit.edu/our-offic</w:t>
      </w:r>
      <w:r w:rsidR="002E1DD8" w:rsidRPr="00D9057D">
        <w:t>e</w:t>
      </w:r>
      <w:r w:rsidR="002E1DD8" w:rsidRPr="00D9057D">
        <w:t>/annual-reports</w:t>
      </w:r>
      <w:r w:rsidR="00D9057D">
        <w:t>.</w:t>
      </w:r>
      <w:r w:rsidRPr="009B7BB6">
        <w:t xml:space="preserve"> </w:t>
      </w:r>
    </w:p>
    <w:p w14:paraId="2B1ED9A5" w14:textId="59905D64" w:rsidR="009B7BB6" w:rsidRDefault="009B7BB6" w:rsidP="009B7BB6"/>
    <w:p w14:paraId="125BA5FD" w14:textId="53F1B793" w:rsidR="009B7BB6" w:rsidRPr="009B7BB6" w:rsidRDefault="009B7BB6" w:rsidP="009B7BB6">
      <w:pPr>
        <w:rPr>
          <w:b/>
          <w:bCs/>
        </w:rPr>
      </w:pPr>
      <w:r w:rsidRPr="009B7BB6">
        <w:rPr>
          <w:b/>
          <w:bCs/>
        </w:rPr>
        <w:t>293 Incident Reports</w:t>
      </w:r>
    </w:p>
    <w:p w14:paraId="7B1C648E" w14:textId="0B4A99D8" w:rsidR="009B7BB6" w:rsidRDefault="009B7BB6" w:rsidP="009B7BB6"/>
    <w:p w14:paraId="47FCA97E" w14:textId="32BC0952" w:rsidR="009B7BB6" w:rsidRDefault="00BD4946" w:rsidP="009B7BB6">
      <w:r>
        <w:t>B</w:t>
      </w:r>
      <w:r w:rsidR="009B7BB6">
        <w:t xml:space="preserve">reakdown of </w:t>
      </w:r>
      <w:r>
        <w:t xml:space="preserve">293 incident </w:t>
      </w:r>
      <w:r w:rsidR="009B7BB6">
        <w:t xml:space="preserve">reports: </w:t>
      </w:r>
    </w:p>
    <w:p w14:paraId="50943496" w14:textId="26831FF0" w:rsidR="009B7BB6" w:rsidRDefault="009B7BB6" w:rsidP="009B7BB6">
      <w:pPr>
        <w:pStyle w:val="ListParagraph"/>
        <w:numPr>
          <w:ilvl w:val="0"/>
          <w:numId w:val="1"/>
        </w:numPr>
      </w:pPr>
      <w:r>
        <w:t>145 Gender-based or Sex-Based Discrimination</w:t>
      </w:r>
    </w:p>
    <w:p w14:paraId="63A2275D" w14:textId="0342E0A6" w:rsidR="009B7BB6" w:rsidRDefault="009B7BB6" w:rsidP="009B7BB6">
      <w:pPr>
        <w:pStyle w:val="ListParagraph"/>
        <w:numPr>
          <w:ilvl w:val="0"/>
          <w:numId w:val="1"/>
        </w:numPr>
      </w:pPr>
      <w:r>
        <w:t xml:space="preserve">102 Discrimination (excluding </w:t>
      </w:r>
      <w:proofErr w:type="gramStart"/>
      <w:r>
        <w:t>on the basis of</w:t>
      </w:r>
      <w:proofErr w:type="gramEnd"/>
      <w:r>
        <w:t xml:space="preserve"> Gender or Sex)</w:t>
      </w:r>
    </w:p>
    <w:p w14:paraId="37B0FAAD" w14:textId="7B933638" w:rsidR="009B7BB6" w:rsidRDefault="009B7BB6" w:rsidP="009B7BB6">
      <w:pPr>
        <w:pStyle w:val="ListParagraph"/>
        <w:numPr>
          <w:ilvl w:val="0"/>
          <w:numId w:val="1"/>
        </w:numPr>
      </w:pPr>
      <w:r>
        <w:t>46 Other forms of misconduct</w:t>
      </w:r>
    </w:p>
    <w:p w14:paraId="5993EF1A" w14:textId="70BF6CCA" w:rsidR="009B7BB6" w:rsidRDefault="009B7BB6" w:rsidP="009B7BB6"/>
    <w:p w14:paraId="7ABD6988" w14:textId="2EA943BF" w:rsidR="009B7BB6" w:rsidRDefault="00BD4946" w:rsidP="009B7BB6">
      <w:r>
        <w:t>Breakdown of e</w:t>
      </w:r>
      <w:r w:rsidR="009B7BB6">
        <w:t>mployee and student cases of discrimination:</w:t>
      </w:r>
    </w:p>
    <w:p w14:paraId="159D70EF" w14:textId="2E6DA59E" w:rsidR="009B7BB6" w:rsidRDefault="009B7BB6" w:rsidP="009B7BB6">
      <w:pPr>
        <w:pStyle w:val="ListParagraph"/>
        <w:numPr>
          <w:ilvl w:val="0"/>
          <w:numId w:val="1"/>
        </w:numPr>
      </w:pPr>
      <w:r>
        <w:t xml:space="preserve">There were 129 allegations against an MIT employee, broken down into 62 Gender-based or Sex-Based Discrimination and 67 Discrimination (excluding </w:t>
      </w:r>
      <w:proofErr w:type="gramStart"/>
      <w:r>
        <w:t>on the basis of</w:t>
      </w:r>
      <w:proofErr w:type="gramEnd"/>
      <w:r>
        <w:t xml:space="preserve"> Gender or Sex)</w:t>
      </w:r>
    </w:p>
    <w:p w14:paraId="3F775DB7" w14:textId="4240A09A" w:rsidR="009B7BB6" w:rsidRDefault="009B7BB6" w:rsidP="009B7BB6">
      <w:pPr>
        <w:pStyle w:val="ListParagraph"/>
        <w:numPr>
          <w:ilvl w:val="0"/>
          <w:numId w:val="1"/>
        </w:numPr>
      </w:pPr>
      <w:r>
        <w:t>There were 118 allegations against an MIT student</w:t>
      </w:r>
      <w:r w:rsidR="00BD4946">
        <w:t xml:space="preserve">, broken down into 83 Gender-based or Sex-Based Discrimination and 35 Discrimination (excluding </w:t>
      </w:r>
      <w:proofErr w:type="gramStart"/>
      <w:r w:rsidR="00BD4946">
        <w:t>on the basis of</w:t>
      </w:r>
      <w:proofErr w:type="gramEnd"/>
      <w:r w:rsidR="00BD4946">
        <w:t xml:space="preserve"> Gender or Sex)</w:t>
      </w:r>
    </w:p>
    <w:p w14:paraId="445DFD00" w14:textId="677A8E6D" w:rsidR="00BD4946" w:rsidRDefault="00BD4946" w:rsidP="00BD4946"/>
    <w:p w14:paraId="63B6C6DC" w14:textId="15083F65" w:rsidR="00BD4946" w:rsidRPr="00BD4946" w:rsidRDefault="00BD4946" w:rsidP="00BD4946">
      <w:pPr>
        <w:rPr>
          <w:b/>
          <w:bCs/>
        </w:rPr>
      </w:pPr>
      <w:r w:rsidRPr="00BD4946">
        <w:rPr>
          <w:b/>
          <w:bCs/>
        </w:rPr>
        <w:t>38% Incident Report Increase</w:t>
      </w:r>
    </w:p>
    <w:p w14:paraId="22C65786" w14:textId="0285A362" w:rsidR="009B7BB6" w:rsidRDefault="009B7BB6" w:rsidP="009B7BB6"/>
    <w:p w14:paraId="36D2A930" w14:textId="627D3BDE" w:rsidR="00E21B21" w:rsidRPr="00E21B21" w:rsidRDefault="003D70AA" w:rsidP="00E21B21">
      <w:r w:rsidRPr="003D70AA">
        <w:t>We had a 38% increase in reports received in 2020-21 compared to the year before. We believe this is due to a combination of factors: in 2019-20 IDHR expanded its scope to include the entire MIT community; the return to campus of a community that had been remote during COVID-19 shutdowns; and increased education and messaging about IDHR as a resource.</w:t>
      </w:r>
    </w:p>
    <w:p w14:paraId="5BD98E03" w14:textId="083E8B45" w:rsidR="0036085A" w:rsidRDefault="0036085A" w:rsidP="009B7BB6"/>
    <w:p w14:paraId="74E4852D" w14:textId="77777777" w:rsidR="002E1DD8" w:rsidRDefault="0036085A" w:rsidP="0036085A">
      <w:pPr>
        <w:rPr>
          <w:b/>
          <w:bCs/>
        </w:rPr>
      </w:pPr>
      <w:r w:rsidRPr="0036085A">
        <w:rPr>
          <w:b/>
          <w:bCs/>
        </w:rPr>
        <w:t>IDHR Services Provided</w:t>
      </w:r>
    </w:p>
    <w:p w14:paraId="71DC3231" w14:textId="60A744F3" w:rsidR="00E33614" w:rsidRPr="002E1DD8" w:rsidRDefault="00D9057D" w:rsidP="0036085A">
      <w:pPr>
        <w:rPr>
          <w:b/>
          <w:bCs/>
        </w:rPr>
      </w:pPr>
      <w:r>
        <w:lastRenderedPageBreak/>
        <w:t>The</w:t>
      </w:r>
      <w:r w:rsidR="002E1DD8" w:rsidRPr="002E1DD8">
        <w:t xml:space="preserve"> IDHR services provided</w:t>
      </w:r>
      <w:r>
        <w:t xml:space="preserve"> to the community</w:t>
      </w:r>
      <w:r w:rsidR="002E1DD8" w:rsidRPr="002E1DD8">
        <w:t xml:space="preserve"> for </w:t>
      </w:r>
      <w:r>
        <w:t>2020-21</w:t>
      </w:r>
      <w:r w:rsidR="002E1DD8" w:rsidRPr="002E1DD8">
        <w:t xml:space="preserve"> is broken down into 116 information; 92 adaptable </w:t>
      </w:r>
      <w:proofErr w:type="gramStart"/>
      <w:r w:rsidR="002E1DD8" w:rsidRPr="002E1DD8">
        <w:t>resolution</w:t>
      </w:r>
      <w:proofErr w:type="gramEnd"/>
      <w:r w:rsidR="002E1DD8" w:rsidRPr="002E1DD8">
        <w:t>, such as mediation and more; 38 supportive measures; 30 referrals; and 17 formal resolution.</w:t>
      </w:r>
    </w:p>
    <w:p w14:paraId="15980BA1" w14:textId="77777777" w:rsidR="00D9057D" w:rsidRDefault="00D9057D" w:rsidP="0036085A"/>
    <w:p w14:paraId="57FF7993" w14:textId="5ED7BDC5" w:rsidR="0036085A" w:rsidRPr="0036085A" w:rsidRDefault="0036085A" w:rsidP="0036085A">
      <w:r w:rsidRPr="0036085A">
        <w:t>The IDHR team’s process is guided by our commitment to equity, fairness, and adherence to Institute policies and procedures. IDHR strives to consult with the impacted party to identify resolution processes that best fit their needs. The goal is to provide the impacted person with as much control over the process as possible, while balancing MIT’s obligation to protect the community.</w:t>
      </w:r>
    </w:p>
    <w:p w14:paraId="78E19E64" w14:textId="5F2034D6" w:rsidR="0036085A" w:rsidRDefault="0036085A" w:rsidP="009B7BB6"/>
    <w:p w14:paraId="7197DF3D" w14:textId="0B165DF4" w:rsidR="0036085A" w:rsidRPr="00E21B21" w:rsidRDefault="006D0FD9" w:rsidP="009B7BB6">
      <w:pPr>
        <w:rPr>
          <w:b/>
          <w:bCs/>
        </w:rPr>
      </w:pPr>
      <w:r w:rsidRPr="00E21B21">
        <w:rPr>
          <w:b/>
          <w:bCs/>
        </w:rPr>
        <w:t>Training and Education</w:t>
      </w:r>
    </w:p>
    <w:p w14:paraId="741F17C1" w14:textId="67DF3734" w:rsidR="00E21B21" w:rsidRDefault="00E21B21" w:rsidP="009B7BB6"/>
    <w:p w14:paraId="4EBB654D" w14:textId="3621AFF8" w:rsidR="00747197" w:rsidRDefault="00747197" w:rsidP="00747197">
      <w:r w:rsidRPr="00747197">
        <w:t>123 Live virtual Trainings</w:t>
      </w:r>
      <w:r>
        <w:t xml:space="preserve"> were</w:t>
      </w:r>
      <w:r w:rsidRPr="00747197">
        <w:t xml:space="preserve"> provided</w:t>
      </w:r>
      <w:r>
        <w:t xml:space="preserve"> in 20</w:t>
      </w:r>
      <w:r w:rsidRPr="00747197">
        <w:t>20-21</w:t>
      </w:r>
      <w:r w:rsidR="00E33614">
        <w:t>.</w:t>
      </w:r>
    </w:p>
    <w:p w14:paraId="45689895" w14:textId="58B25DA6" w:rsidR="00E33614" w:rsidRDefault="00E33614" w:rsidP="00747197"/>
    <w:p w14:paraId="4DBF9B1F" w14:textId="7E2D9781" w:rsidR="00E33614" w:rsidRDefault="00E33614" w:rsidP="00747197">
      <w:r>
        <w:t>Breakdown of trainings provided are:</w:t>
      </w:r>
    </w:p>
    <w:p w14:paraId="5779A6C8" w14:textId="54241DE1" w:rsidR="00E33614" w:rsidRPr="00E33614" w:rsidRDefault="00E33614" w:rsidP="00E33614">
      <w:pPr>
        <w:pStyle w:val="ListParagraph"/>
        <w:numPr>
          <w:ilvl w:val="0"/>
          <w:numId w:val="1"/>
        </w:numPr>
      </w:pPr>
      <w:r w:rsidRPr="00E33614">
        <w:t>33.3% Promoting Inclusive Environments Workshop</w:t>
      </w:r>
    </w:p>
    <w:p w14:paraId="12D83B3F" w14:textId="3C979454" w:rsidR="00E33614" w:rsidRPr="00E33614" w:rsidRDefault="00E33614" w:rsidP="00E33614">
      <w:pPr>
        <w:pStyle w:val="ListParagraph"/>
        <w:numPr>
          <w:ilvl w:val="0"/>
          <w:numId w:val="1"/>
        </w:numPr>
      </w:pPr>
      <w:r w:rsidRPr="00E33614">
        <w:t>22.8%</w:t>
      </w:r>
      <w:r>
        <w:t xml:space="preserve"> </w:t>
      </w:r>
      <w:r w:rsidRPr="00E33614">
        <w:t>Expanded Getting to Know IDHR Training</w:t>
      </w:r>
    </w:p>
    <w:p w14:paraId="2F8C64A1" w14:textId="16D3AFD7" w:rsidR="00E33614" w:rsidRPr="00E33614" w:rsidRDefault="00E33614" w:rsidP="00E33614">
      <w:pPr>
        <w:pStyle w:val="ListParagraph"/>
        <w:numPr>
          <w:ilvl w:val="0"/>
          <w:numId w:val="1"/>
        </w:numPr>
      </w:pPr>
      <w:r w:rsidRPr="00E33614">
        <w:t>17.9% Getting to Know IDHR Training</w:t>
      </w:r>
    </w:p>
    <w:p w14:paraId="29EFD4DE" w14:textId="12E87343" w:rsidR="00E33614" w:rsidRPr="00E33614" w:rsidRDefault="00E33614" w:rsidP="00E33614">
      <w:pPr>
        <w:pStyle w:val="ListParagraph"/>
        <w:numPr>
          <w:ilvl w:val="0"/>
          <w:numId w:val="1"/>
        </w:numPr>
      </w:pPr>
      <w:r w:rsidRPr="00E33614">
        <w:t>10.6% Responsible Employee Training</w:t>
      </w:r>
    </w:p>
    <w:p w14:paraId="361A1983" w14:textId="7FE03BD7" w:rsidR="00E33614" w:rsidRDefault="00E33614" w:rsidP="00E33614">
      <w:pPr>
        <w:pStyle w:val="ListParagraph"/>
        <w:numPr>
          <w:ilvl w:val="0"/>
          <w:numId w:val="1"/>
        </w:numPr>
      </w:pPr>
      <w:r>
        <w:t xml:space="preserve">And </w:t>
      </w:r>
      <w:r w:rsidRPr="00E33614">
        <w:t xml:space="preserve">15.4% Other </w:t>
      </w:r>
      <w:r>
        <w:t xml:space="preserve">activities </w:t>
      </w:r>
      <w:r w:rsidRPr="00E33614">
        <w:t>(This includes fairs, events, and tabling opportunities)</w:t>
      </w:r>
    </w:p>
    <w:p w14:paraId="6FF46B8B" w14:textId="0ECE9E6C" w:rsidR="00747197" w:rsidRDefault="00747197" w:rsidP="00747197"/>
    <w:p w14:paraId="03DDF256" w14:textId="6705A6AA" w:rsidR="00747197" w:rsidRDefault="00747197" w:rsidP="00747197">
      <w:r w:rsidRPr="00747197">
        <w:t xml:space="preserve">MIT Community Members can request live trainings from IDHR at </w:t>
      </w:r>
      <w:r w:rsidRPr="00D9057D">
        <w:t>idhr-education@mit.edu</w:t>
      </w:r>
      <w:r>
        <w:t>.</w:t>
      </w:r>
    </w:p>
    <w:p w14:paraId="316B929D" w14:textId="06E45F57" w:rsidR="00747197" w:rsidRDefault="00747197" w:rsidP="00747197"/>
    <w:p w14:paraId="04C119D2" w14:textId="1EFDD4BA" w:rsidR="00747197" w:rsidRPr="00747197" w:rsidRDefault="00747197" w:rsidP="00747197">
      <w:r w:rsidRPr="00747197">
        <w:rPr>
          <w:b/>
          <w:bCs/>
        </w:rPr>
        <w:t xml:space="preserve">Read our full 2020-21 Annual Report at </w:t>
      </w:r>
      <w:r w:rsidRPr="00D9057D">
        <w:rPr>
          <w:b/>
          <w:bCs/>
        </w:rPr>
        <w:t>idhr.mit.edu</w:t>
      </w:r>
      <w:r w:rsidR="002E1DD8">
        <w:rPr>
          <w:rStyle w:val="Hyperlink"/>
          <w:b/>
          <w:bCs/>
        </w:rPr>
        <w:t>.</w:t>
      </w:r>
    </w:p>
    <w:p w14:paraId="022A38F8" w14:textId="77777777" w:rsidR="00747197" w:rsidRPr="00747197" w:rsidRDefault="00747197" w:rsidP="00747197"/>
    <w:p w14:paraId="27A05081" w14:textId="77777777" w:rsidR="00747197" w:rsidRPr="00747197" w:rsidRDefault="00747197" w:rsidP="00747197"/>
    <w:p w14:paraId="7955BBE6" w14:textId="77777777" w:rsidR="00E21B21" w:rsidRDefault="00E21B21" w:rsidP="009B7BB6"/>
    <w:sectPr w:rsidR="00E21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891"/>
    <w:multiLevelType w:val="hybridMultilevel"/>
    <w:tmpl w:val="2E500976"/>
    <w:lvl w:ilvl="0" w:tplc="FD34794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102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BB6"/>
    <w:rsid w:val="002B59D9"/>
    <w:rsid w:val="002E1DD8"/>
    <w:rsid w:val="0036085A"/>
    <w:rsid w:val="00373168"/>
    <w:rsid w:val="003D70AA"/>
    <w:rsid w:val="006A56F1"/>
    <w:rsid w:val="006D0FD9"/>
    <w:rsid w:val="00747197"/>
    <w:rsid w:val="009B7BB6"/>
    <w:rsid w:val="00AE7547"/>
    <w:rsid w:val="00BD4946"/>
    <w:rsid w:val="00D9057D"/>
    <w:rsid w:val="00E21B21"/>
    <w:rsid w:val="00E33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E05B01"/>
  <w15:chartTrackingRefBased/>
  <w15:docId w15:val="{3E48AEFC-9343-2345-9F07-4DA69D96B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BB6"/>
    <w:rPr>
      <w:color w:val="0563C1" w:themeColor="hyperlink"/>
      <w:u w:val="single"/>
    </w:rPr>
  </w:style>
  <w:style w:type="character" w:styleId="UnresolvedMention">
    <w:name w:val="Unresolved Mention"/>
    <w:basedOn w:val="DefaultParagraphFont"/>
    <w:uiPriority w:val="99"/>
    <w:semiHidden/>
    <w:unhideWhenUsed/>
    <w:rsid w:val="009B7BB6"/>
    <w:rPr>
      <w:color w:val="605E5C"/>
      <w:shd w:val="clear" w:color="auto" w:fill="E1DFDD"/>
    </w:rPr>
  </w:style>
  <w:style w:type="paragraph" w:styleId="ListParagraph">
    <w:name w:val="List Paragraph"/>
    <w:basedOn w:val="Normal"/>
    <w:uiPriority w:val="34"/>
    <w:qFormat/>
    <w:rsid w:val="009B7BB6"/>
    <w:pPr>
      <w:ind w:left="720"/>
      <w:contextualSpacing/>
    </w:pPr>
  </w:style>
  <w:style w:type="character" w:styleId="FollowedHyperlink">
    <w:name w:val="FollowedHyperlink"/>
    <w:basedOn w:val="DefaultParagraphFont"/>
    <w:uiPriority w:val="99"/>
    <w:semiHidden/>
    <w:unhideWhenUsed/>
    <w:rsid w:val="00D905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842">
      <w:bodyDiv w:val="1"/>
      <w:marLeft w:val="0"/>
      <w:marRight w:val="0"/>
      <w:marTop w:val="0"/>
      <w:marBottom w:val="0"/>
      <w:divBdr>
        <w:top w:val="none" w:sz="0" w:space="0" w:color="auto"/>
        <w:left w:val="none" w:sz="0" w:space="0" w:color="auto"/>
        <w:bottom w:val="none" w:sz="0" w:space="0" w:color="auto"/>
        <w:right w:val="none" w:sz="0" w:space="0" w:color="auto"/>
      </w:divBdr>
    </w:div>
    <w:div w:id="102725753">
      <w:bodyDiv w:val="1"/>
      <w:marLeft w:val="0"/>
      <w:marRight w:val="0"/>
      <w:marTop w:val="0"/>
      <w:marBottom w:val="0"/>
      <w:divBdr>
        <w:top w:val="none" w:sz="0" w:space="0" w:color="auto"/>
        <w:left w:val="none" w:sz="0" w:space="0" w:color="auto"/>
        <w:bottom w:val="none" w:sz="0" w:space="0" w:color="auto"/>
        <w:right w:val="none" w:sz="0" w:space="0" w:color="auto"/>
      </w:divBdr>
    </w:div>
    <w:div w:id="528033052">
      <w:bodyDiv w:val="1"/>
      <w:marLeft w:val="0"/>
      <w:marRight w:val="0"/>
      <w:marTop w:val="0"/>
      <w:marBottom w:val="0"/>
      <w:divBdr>
        <w:top w:val="none" w:sz="0" w:space="0" w:color="auto"/>
        <w:left w:val="none" w:sz="0" w:space="0" w:color="auto"/>
        <w:bottom w:val="none" w:sz="0" w:space="0" w:color="auto"/>
        <w:right w:val="none" w:sz="0" w:space="0" w:color="auto"/>
      </w:divBdr>
    </w:div>
    <w:div w:id="572467849">
      <w:bodyDiv w:val="1"/>
      <w:marLeft w:val="0"/>
      <w:marRight w:val="0"/>
      <w:marTop w:val="0"/>
      <w:marBottom w:val="0"/>
      <w:divBdr>
        <w:top w:val="none" w:sz="0" w:space="0" w:color="auto"/>
        <w:left w:val="none" w:sz="0" w:space="0" w:color="auto"/>
        <w:bottom w:val="none" w:sz="0" w:space="0" w:color="auto"/>
        <w:right w:val="none" w:sz="0" w:space="0" w:color="auto"/>
      </w:divBdr>
    </w:div>
    <w:div w:id="620183847">
      <w:bodyDiv w:val="1"/>
      <w:marLeft w:val="0"/>
      <w:marRight w:val="0"/>
      <w:marTop w:val="0"/>
      <w:marBottom w:val="0"/>
      <w:divBdr>
        <w:top w:val="none" w:sz="0" w:space="0" w:color="auto"/>
        <w:left w:val="none" w:sz="0" w:space="0" w:color="auto"/>
        <w:bottom w:val="none" w:sz="0" w:space="0" w:color="auto"/>
        <w:right w:val="none" w:sz="0" w:space="0" w:color="auto"/>
      </w:divBdr>
    </w:div>
    <w:div w:id="680661948">
      <w:bodyDiv w:val="1"/>
      <w:marLeft w:val="0"/>
      <w:marRight w:val="0"/>
      <w:marTop w:val="0"/>
      <w:marBottom w:val="0"/>
      <w:divBdr>
        <w:top w:val="none" w:sz="0" w:space="0" w:color="auto"/>
        <w:left w:val="none" w:sz="0" w:space="0" w:color="auto"/>
        <w:bottom w:val="none" w:sz="0" w:space="0" w:color="auto"/>
        <w:right w:val="none" w:sz="0" w:space="0" w:color="auto"/>
      </w:divBdr>
    </w:div>
    <w:div w:id="715161389">
      <w:bodyDiv w:val="1"/>
      <w:marLeft w:val="0"/>
      <w:marRight w:val="0"/>
      <w:marTop w:val="0"/>
      <w:marBottom w:val="0"/>
      <w:divBdr>
        <w:top w:val="none" w:sz="0" w:space="0" w:color="auto"/>
        <w:left w:val="none" w:sz="0" w:space="0" w:color="auto"/>
        <w:bottom w:val="none" w:sz="0" w:space="0" w:color="auto"/>
        <w:right w:val="none" w:sz="0" w:space="0" w:color="auto"/>
      </w:divBdr>
    </w:div>
    <w:div w:id="844636427">
      <w:bodyDiv w:val="1"/>
      <w:marLeft w:val="0"/>
      <w:marRight w:val="0"/>
      <w:marTop w:val="0"/>
      <w:marBottom w:val="0"/>
      <w:divBdr>
        <w:top w:val="none" w:sz="0" w:space="0" w:color="auto"/>
        <w:left w:val="none" w:sz="0" w:space="0" w:color="auto"/>
        <w:bottom w:val="none" w:sz="0" w:space="0" w:color="auto"/>
        <w:right w:val="none" w:sz="0" w:space="0" w:color="auto"/>
      </w:divBdr>
    </w:div>
    <w:div w:id="847595517">
      <w:bodyDiv w:val="1"/>
      <w:marLeft w:val="0"/>
      <w:marRight w:val="0"/>
      <w:marTop w:val="0"/>
      <w:marBottom w:val="0"/>
      <w:divBdr>
        <w:top w:val="none" w:sz="0" w:space="0" w:color="auto"/>
        <w:left w:val="none" w:sz="0" w:space="0" w:color="auto"/>
        <w:bottom w:val="none" w:sz="0" w:space="0" w:color="auto"/>
        <w:right w:val="none" w:sz="0" w:space="0" w:color="auto"/>
      </w:divBdr>
    </w:div>
    <w:div w:id="991179902">
      <w:bodyDiv w:val="1"/>
      <w:marLeft w:val="0"/>
      <w:marRight w:val="0"/>
      <w:marTop w:val="0"/>
      <w:marBottom w:val="0"/>
      <w:divBdr>
        <w:top w:val="none" w:sz="0" w:space="0" w:color="auto"/>
        <w:left w:val="none" w:sz="0" w:space="0" w:color="auto"/>
        <w:bottom w:val="none" w:sz="0" w:space="0" w:color="auto"/>
        <w:right w:val="none" w:sz="0" w:space="0" w:color="auto"/>
      </w:divBdr>
    </w:div>
    <w:div w:id="1163348877">
      <w:bodyDiv w:val="1"/>
      <w:marLeft w:val="0"/>
      <w:marRight w:val="0"/>
      <w:marTop w:val="0"/>
      <w:marBottom w:val="0"/>
      <w:divBdr>
        <w:top w:val="none" w:sz="0" w:space="0" w:color="auto"/>
        <w:left w:val="none" w:sz="0" w:space="0" w:color="auto"/>
        <w:bottom w:val="none" w:sz="0" w:space="0" w:color="auto"/>
        <w:right w:val="none" w:sz="0" w:space="0" w:color="auto"/>
      </w:divBdr>
    </w:div>
    <w:div w:id="1200510068">
      <w:bodyDiv w:val="1"/>
      <w:marLeft w:val="0"/>
      <w:marRight w:val="0"/>
      <w:marTop w:val="0"/>
      <w:marBottom w:val="0"/>
      <w:divBdr>
        <w:top w:val="none" w:sz="0" w:space="0" w:color="auto"/>
        <w:left w:val="none" w:sz="0" w:space="0" w:color="auto"/>
        <w:bottom w:val="none" w:sz="0" w:space="0" w:color="auto"/>
        <w:right w:val="none" w:sz="0" w:space="0" w:color="auto"/>
      </w:divBdr>
    </w:div>
    <w:div w:id="1519544139">
      <w:bodyDiv w:val="1"/>
      <w:marLeft w:val="0"/>
      <w:marRight w:val="0"/>
      <w:marTop w:val="0"/>
      <w:marBottom w:val="0"/>
      <w:divBdr>
        <w:top w:val="none" w:sz="0" w:space="0" w:color="auto"/>
        <w:left w:val="none" w:sz="0" w:space="0" w:color="auto"/>
        <w:bottom w:val="none" w:sz="0" w:space="0" w:color="auto"/>
        <w:right w:val="none" w:sz="0" w:space="0" w:color="auto"/>
      </w:divBdr>
    </w:div>
    <w:div w:id="1595163874">
      <w:bodyDiv w:val="1"/>
      <w:marLeft w:val="0"/>
      <w:marRight w:val="0"/>
      <w:marTop w:val="0"/>
      <w:marBottom w:val="0"/>
      <w:divBdr>
        <w:top w:val="none" w:sz="0" w:space="0" w:color="auto"/>
        <w:left w:val="none" w:sz="0" w:space="0" w:color="auto"/>
        <w:bottom w:val="none" w:sz="0" w:space="0" w:color="auto"/>
        <w:right w:val="none" w:sz="0" w:space="0" w:color="auto"/>
      </w:divBdr>
    </w:div>
    <w:div w:id="1642731199">
      <w:bodyDiv w:val="1"/>
      <w:marLeft w:val="0"/>
      <w:marRight w:val="0"/>
      <w:marTop w:val="0"/>
      <w:marBottom w:val="0"/>
      <w:divBdr>
        <w:top w:val="none" w:sz="0" w:space="0" w:color="auto"/>
        <w:left w:val="none" w:sz="0" w:space="0" w:color="auto"/>
        <w:bottom w:val="none" w:sz="0" w:space="0" w:color="auto"/>
        <w:right w:val="none" w:sz="0" w:space="0" w:color="auto"/>
      </w:divBdr>
    </w:div>
    <w:div w:id="1715426411">
      <w:bodyDiv w:val="1"/>
      <w:marLeft w:val="0"/>
      <w:marRight w:val="0"/>
      <w:marTop w:val="0"/>
      <w:marBottom w:val="0"/>
      <w:divBdr>
        <w:top w:val="none" w:sz="0" w:space="0" w:color="auto"/>
        <w:left w:val="none" w:sz="0" w:space="0" w:color="auto"/>
        <w:bottom w:val="none" w:sz="0" w:space="0" w:color="auto"/>
        <w:right w:val="none" w:sz="0" w:space="0" w:color="auto"/>
      </w:divBdr>
    </w:div>
    <w:div w:id="1859780675">
      <w:bodyDiv w:val="1"/>
      <w:marLeft w:val="0"/>
      <w:marRight w:val="0"/>
      <w:marTop w:val="0"/>
      <w:marBottom w:val="0"/>
      <w:divBdr>
        <w:top w:val="none" w:sz="0" w:space="0" w:color="auto"/>
        <w:left w:val="none" w:sz="0" w:space="0" w:color="auto"/>
        <w:bottom w:val="none" w:sz="0" w:space="0" w:color="auto"/>
        <w:right w:val="none" w:sz="0" w:space="0" w:color="auto"/>
      </w:divBdr>
    </w:div>
    <w:div w:id="1871146592">
      <w:bodyDiv w:val="1"/>
      <w:marLeft w:val="0"/>
      <w:marRight w:val="0"/>
      <w:marTop w:val="0"/>
      <w:marBottom w:val="0"/>
      <w:divBdr>
        <w:top w:val="none" w:sz="0" w:space="0" w:color="auto"/>
        <w:left w:val="none" w:sz="0" w:space="0" w:color="auto"/>
        <w:bottom w:val="none" w:sz="0" w:space="0" w:color="auto"/>
        <w:right w:val="none" w:sz="0" w:space="0" w:color="auto"/>
      </w:divBdr>
    </w:div>
    <w:div w:id="199737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Grbic</dc:creator>
  <cp:keywords/>
  <dc:description/>
  <cp:lastModifiedBy>Vera Grbic</cp:lastModifiedBy>
  <cp:revision>3</cp:revision>
  <dcterms:created xsi:type="dcterms:W3CDTF">2022-03-23T18:43:00Z</dcterms:created>
  <dcterms:modified xsi:type="dcterms:W3CDTF">2022-03-24T14:01:00Z</dcterms:modified>
</cp:coreProperties>
</file>